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Secondary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Secondary Evidence  |  Resource ID LAW-03-05-022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each account, device, file, message, date, custodian and extraction method. Preserve native files and metadata.</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Secondary Evidence a matter involving electronic records and digital material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